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303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3"/>
      </w:tblGrid>
      <w:tr w:rsidR="00171EC9" w14:paraId="247AAACD" w14:textId="77777777" w:rsidTr="00DA0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bottom w:val="none" w:sz="0" w:space="0" w:color="auto"/>
            </w:tcBorders>
            <w:shd w:val="clear" w:color="auto" w:fill="auto"/>
          </w:tcPr>
          <w:p w14:paraId="11CC73BB" w14:textId="005FB974" w:rsidR="003C552D" w:rsidRPr="003C552D" w:rsidRDefault="00E32586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</w:pPr>
            <w:r>
              <w:rPr>
                <w:color w:val="595959" w:themeColor="text1" w:themeTint="A6"/>
              </w:rPr>
              <w:br/>
            </w:r>
            <w:r w:rsidR="005B1DE6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PLANNER RESOURCE</w:t>
            </w:r>
            <w:r w:rsidR="00DA05C1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 xml:space="preserve"> | Page 1 of </w:t>
            </w:r>
            <w:r w:rsidR="00F00B8F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1</w:t>
            </w:r>
          </w:p>
          <w:p w14:paraId="46F99183" w14:textId="757AEDD3" w:rsidR="00171EC9" w:rsidRPr="00DA05C1" w:rsidRDefault="00FD0AD0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Techniques for </w:t>
            </w:r>
            <w:r>
              <w:rPr>
                <w:color w:val="595959" w:themeColor="text1" w:themeTint="A6"/>
              </w:rPr>
              <w:br/>
              <w:t>Leading Group Discussions</w:t>
            </w:r>
          </w:p>
          <w:p w14:paraId="1D8578DE" w14:textId="7F85839D" w:rsidR="00DA05C1" w:rsidRPr="0007409C" w:rsidRDefault="00DA05C1" w:rsidP="003C066F">
            <w:pPr>
              <w:pStyle w:val="PLGSessionTitle"/>
              <w:ind w:left="0"/>
              <w:rPr>
                <w:sz w:val="28"/>
                <w:szCs w:val="28"/>
              </w:rPr>
            </w:pPr>
          </w:p>
        </w:tc>
      </w:tr>
      <w:tr w:rsidR="00DA05C1" w:rsidRPr="003C066F" w14:paraId="30849F63" w14:textId="77777777" w:rsidTr="00DA05C1">
        <w:tblPrEx>
          <w:tblBorders>
            <w:top w:val="single" w:sz="4" w:space="0" w:color="7F7F7F" w:themeColor="text1" w:themeTint="80"/>
            <w:bottom w:val="single" w:sz="4" w:space="0" w:color="7F7F7F" w:themeColor="text1" w:themeTint="8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top w:val="nil"/>
              <w:bottom w:val="nil"/>
            </w:tcBorders>
          </w:tcPr>
          <w:p w14:paraId="7A2F31D8" w14:textId="1ED0F42D" w:rsidR="00A546E6" w:rsidRPr="00EF7A88" w:rsidRDefault="005B18C8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bCs w:val="0"/>
                <w:noProof/>
                <w:color w:val="36A3B8" w:themeColor="hyperlink"/>
                <w:sz w:val="28"/>
                <w:szCs w:val="28"/>
                <w:u w:val="single"/>
              </w:rPr>
              <w:drawing>
                <wp:anchor distT="0" distB="0" distL="114300" distR="114300" simplePos="0" relativeHeight="251659264" behindDoc="1" locked="0" layoutInCell="1" allowOverlap="1" wp14:anchorId="76EFFDB3" wp14:editId="4FE21B0C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59055</wp:posOffset>
                  </wp:positionV>
                  <wp:extent cx="2910205" cy="2181860"/>
                  <wp:effectExtent l="12700" t="12700" r="10795" b="15240"/>
                  <wp:wrapTight wrapText="bothSides">
                    <wp:wrapPolygon edited="1">
                      <wp:start x="0" y="0"/>
                      <wp:lineTo x="0" y="21482"/>
                      <wp:lineTo x="22945" y="21600"/>
                      <wp:lineTo x="22945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6.4_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205" cy="21818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46E6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Source</w:t>
            </w:r>
            <w:r w:rsidR="00A546E6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7BD23C42" w14:textId="1F8FFDDD" w:rsidR="00A546E6" w:rsidRPr="005B18C8" w:rsidRDefault="00700928" w:rsidP="00A546E6">
            <w:pPr>
              <w:rPr>
                <w:rFonts w:ascii="Nunito" w:hAnsi="Nunito"/>
                <w:bCs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This </w:t>
            </w:r>
            <w:r w:rsidR="0063206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resource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can be found in</w:t>
            </w:r>
            <w:r w:rsidR="005B18C8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 </w:t>
            </w:r>
            <w:hyperlink r:id="rId8" w:history="1">
              <w:r w:rsidR="005B18C8" w:rsidRPr="00402797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>The Community Tool Box</w:t>
              </w:r>
            </w:hyperlink>
            <w:r w:rsidR="001A5A89" w:rsidRPr="00402797">
              <w:rPr>
                <w:rFonts w:ascii="Nunito" w:hAnsi="Nunito"/>
                <w:bCs w:val="0"/>
                <w:color w:val="595959" w:themeColor="text1" w:themeTint="A6"/>
                <w:sz w:val="28"/>
                <w:szCs w:val="28"/>
              </w:rPr>
              <w:br/>
            </w:r>
          </w:p>
          <w:p w14:paraId="3960899E" w14:textId="3284A202" w:rsidR="001A5A89" w:rsidRPr="001A5A89" w:rsidRDefault="00F94927" w:rsidP="001A5A89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r w:rsidRPr="00F94927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Holt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 w:rsidRPr="00F94927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Christina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et al. </w:t>
            </w:r>
            <w:bookmarkStart w:id="0" w:name="_GoBack"/>
            <w:bookmarkEnd w:id="0"/>
            <w:r w:rsid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“</w:t>
            </w:r>
            <w:r w:rsidR="0063206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Techniques for Leading Group Discussions</w:t>
            </w:r>
            <w:r w:rsid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”</w:t>
            </w:r>
            <w:r w:rsidR="001A5A89"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63206C"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Community Tool Box.</w:t>
            </w:r>
            <w:r w:rsidR="001A5A89"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790B16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Center for Community Health and Development at the University of Kansas, 2020.</w:t>
            </w:r>
          </w:p>
          <w:p w14:paraId="4EB086CA" w14:textId="669DE16A" w:rsidR="00F00B8F" w:rsidRDefault="001A5A89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 w:rsidRPr="001A5A89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 </w:t>
            </w:r>
          </w:p>
          <w:p w14:paraId="09D0A7E9" w14:textId="51F4C0A6" w:rsidR="0007409C" w:rsidRPr="0007409C" w:rsidRDefault="00F00B8F" w:rsidP="0007409C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Overview</w:t>
            </w:r>
            <w:r w:rsidR="0007409C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292FF988" w14:textId="0994E727" w:rsidR="00DA05C1" w:rsidRPr="005B1DE6" w:rsidRDefault="00F00B8F" w:rsidP="00F00B8F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Lorem Ipsum</w:t>
            </w:r>
            <w:r w:rsidR="0007409C" w:rsidRPr="0007409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</w:p>
    <w:sectPr w:rsidR="0085726C" w:rsidRPr="003C066F" w:rsidSect="00684C1F">
      <w:footerReference w:type="default" r:id="rId9"/>
      <w:headerReference w:type="first" r:id="rId10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A65CE" w14:textId="77777777" w:rsidR="001F1996" w:rsidRDefault="001F1996">
      <w:r>
        <w:separator/>
      </w:r>
    </w:p>
    <w:p w14:paraId="51208C11" w14:textId="77777777" w:rsidR="001F1996" w:rsidRDefault="001F1996"/>
  </w:endnote>
  <w:endnote w:type="continuationSeparator" w:id="0">
    <w:p w14:paraId="67A4DA42" w14:textId="77777777" w:rsidR="001F1996" w:rsidRDefault="001F1996">
      <w:r>
        <w:continuationSeparator/>
      </w:r>
    </w:p>
    <w:p w14:paraId="3A5614D5" w14:textId="77777777" w:rsidR="001F1996" w:rsidRDefault="001F1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CED7D" w14:textId="77777777" w:rsidR="001F1996" w:rsidRDefault="001F1996">
      <w:r>
        <w:separator/>
      </w:r>
    </w:p>
    <w:p w14:paraId="70EF978B" w14:textId="77777777" w:rsidR="001F1996" w:rsidRDefault="001F1996"/>
  </w:footnote>
  <w:footnote w:type="continuationSeparator" w:id="0">
    <w:p w14:paraId="32124854" w14:textId="77777777" w:rsidR="001F1996" w:rsidRDefault="001F1996">
      <w:r>
        <w:continuationSeparator/>
      </w:r>
    </w:p>
    <w:p w14:paraId="026D9549" w14:textId="77777777" w:rsidR="001F1996" w:rsidRDefault="001F19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5B50E4B1" w:rsidR="000D7B64" w:rsidRDefault="005E08C5" w:rsidP="00821442">
    <w:pPr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4EF42" wp14:editId="2BD1446A">
              <wp:simplePos x="0" y="0"/>
              <wp:positionH relativeFrom="column">
                <wp:posOffset>4506595</wp:posOffset>
              </wp:positionH>
              <wp:positionV relativeFrom="paragraph">
                <wp:posOffset>92536</wp:posOffset>
              </wp:positionV>
              <wp:extent cx="18288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0C4EC8" w14:textId="470831DC" w:rsidR="005E08C5" w:rsidRDefault="005E08C5" w:rsidP="005E08C5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pacing w:val="20"/>
                              <w:sz w:val="20"/>
                              <w:szCs w:val="20"/>
                            </w:rPr>
                            <w:t>PLANNER RESOURCE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44EF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4.85pt;margin-top:7.3pt;width:2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" fillcolor="#d7d7d7 [671]" stroked="f" strokeweight=".5pt">
              <v:textbox>
                <w:txbxContent>
                  <w:p w14:paraId="180C4EC8" w14:textId="470831DC" w:rsidR="005E08C5" w:rsidRDefault="005E08C5" w:rsidP="005E08C5">
                    <w:pPr>
                      <w:jc w:val="center"/>
                    </w:pPr>
                    <w:r>
                      <w:rPr>
                        <w:b/>
                        <w:bCs/>
                        <w:color w:val="595959" w:themeColor="text1" w:themeTint="A6"/>
                        <w:spacing w:val="20"/>
                        <w:sz w:val="20"/>
                        <w:szCs w:val="20"/>
                      </w:rPr>
                      <w:t>PLANNER RESOURCE</w:t>
                    </w:r>
                  </w:p>
                </w:txbxContent>
              </v:textbox>
            </v:shape>
          </w:pict>
        </mc:Fallback>
      </mc:AlternateContent>
    </w:r>
    <w:r w:rsidR="00E32586"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8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 w:numId="23">
    <w:abstractNumId w:val="17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1F1996"/>
    <w:rsid w:val="00223D54"/>
    <w:rsid w:val="002402BE"/>
    <w:rsid w:val="00240A63"/>
    <w:rsid w:val="00245AE1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2797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548D9"/>
    <w:rsid w:val="0057617B"/>
    <w:rsid w:val="00577E25"/>
    <w:rsid w:val="00590B99"/>
    <w:rsid w:val="005971BF"/>
    <w:rsid w:val="005B18C8"/>
    <w:rsid w:val="005B1DE6"/>
    <w:rsid w:val="005C5979"/>
    <w:rsid w:val="005D1564"/>
    <w:rsid w:val="005E08C5"/>
    <w:rsid w:val="005F2F5A"/>
    <w:rsid w:val="0060141F"/>
    <w:rsid w:val="0063206C"/>
    <w:rsid w:val="0065517A"/>
    <w:rsid w:val="00666C1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0B16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57680"/>
    <w:rsid w:val="00977C6C"/>
    <w:rsid w:val="0099135D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94927"/>
    <w:rsid w:val="00FB50F6"/>
    <w:rsid w:val="00FC0C57"/>
    <w:rsid w:val="00FC5335"/>
    <w:rsid w:val="00FD0AD0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18C8"/>
    <w:rPr>
      <w:color w:val="8052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tb.ku.edu/en/table-of-contents/leadership/group-facilitation/group-discussions/mai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7</cp:revision>
  <cp:lastPrinted>2019-10-24T14:37:00Z</cp:lastPrinted>
  <dcterms:created xsi:type="dcterms:W3CDTF">2021-02-26T23:20:00Z</dcterms:created>
  <dcterms:modified xsi:type="dcterms:W3CDTF">2021-02-26T23:34:00Z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